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-394334</wp:posOffset>
            </wp:positionH>
            <wp:positionV relativeFrom="paragraph">
              <wp:posOffset>-252094</wp:posOffset>
            </wp:positionV>
            <wp:extent cx="2057400" cy="438150"/>
            <wp:effectExtent b="0" l="0" r="0" t="0"/>
            <wp:wrapSquare wrapText="bothSides" distB="0" distT="0" distL="114300" distR="114300"/>
            <wp:docPr descr="FCS_UEP_1rgb.jpg" id="1" name="image1.jpg"/>
            <a:graphic>
              <a:graphicData uri="http://schemas.openxmlformats.org/drawingml/2006/picture">
                <pic:pic>
                  <pic:nvPicPr>
                    <pic:cNvPr descr="FCS_UEP_1rgb.jpg" id="0" name="image1.jpg"/>
                    <pic:cNvPicPr preferRelativeResize="0"/>
                  </pic:nvPicPr>
                  <pic:blipFill>
                    <a:blip r:embed="rId6"/>
                    <a:srcRect b="0" l="0" r="0" t="0"/>
                    <a:stretch>
                      <a:fillRect/>
                    </a:stretch>
                  </pic:blipFill>
                  <pic:spPr>
                    <a:xfrm>
                      <a:off x="0" y="0"/>
                      <a:ext cx="2057400" cy="438150"/>
                    </a:xfrm>
                    <a:prstGeom prst="rect"/>
                    <a:ln/>
                  </pic:spPr>
                </pic:pic>
              </a:graphicData>
            </a:graphic>
          </wp:anchor>
        </w:drawing>
      </w:r>
    </w:p>
    <w:p w:rsidR="00000000" w:rsidDel="00000000" w:rsidP="00000000" w:rsidRDefault="00000000" w:rsidRPr="00000000" w14:paraId="00000002">
      <w:pPr>
        <w:rPr>
          <w:rFonts w:ascii="Tahoma" w:cs="Tahoma" w:eastAsia="Tahoma" w:hAnsi="Tahoma"/>
        </w:rPr>
      </w:pPr>
      <w:r w:rsidDel="00000000" w:rsidR="00000000" w:rsidRPr="00000000">
        <w:rPr>
          <w:rtl w:val="0"/>
        </w:rPr>
      </w:r>
    </w:p>
    <w:p w:rsidR="00000000" w:rsidDel="00000000" w:rsidP="00000000" w:rsidRDefault="00000000" w:rsidRPr="00000000" w14:paraId="00000003">
      <w:pPr>
        <w:rPr>
          <w:rFonts w:ascii="Tahoma" w:cs="Tahoma" w:eastAsia="Tahoma" w:hAnsi="Tahoma"/>
          <w:b w:val="1"/>
        </w:rPr>
      </w:pPr>
      <w:r w:rsidDel="00000000" w:rsidR="00000000" w:rsidRPr="00000000">
        <w:rPr>
          <w:rtl w:val="0"/>
        </w:rPr>
      </w:r>
    </w:p>
    <w:p w:rsidR="00000000" w:rsidDel="00000000" w:rsidP="00000000" w:rsidRDefault="00000000" w:rsidRPr="00000000" w14:paraId="00000004">
      <w:pPr>
        <w:jc w:val="center"/>
        <w:rPr>
          <w:rFonts w:ascii="Tahoma" w:cs="Tahoma" w:eastAsia="Tahoma" w:hAnsi="Tahoma"/>
          <w:b w:val="1"/>
        </w:rPr>
      </w:pPr>
      <w:r w:rsidDel="00000000" w:rsidR="00000000" w:rsidRPr="00000000">
        <w:rPr>
          <w:rFonts w:ascii="Tahoma" w:cs="Tahoma" w:eastAsia="Tahoma" w:hAnsi="Tahoma"/>
          <w:b w:val="1"/>
          <w:rtl w:val="0"/>
        </w:rPr>
        <w:t xml:space="preserve">-CURSO DE EDUCACIÓN PERMANENTE 2020-</w:t>
      </w:r>
    </w:p>
    <w:p w:rsidR="00000000" w:rsidDel="00000000" w:rsidP="00000000" w:rsidRDefault="00000000" w:rsidRPr="00000000" w14:paraId="00000005">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6">
      <w:pPr>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Introducción a la evaluación de programas sociales desde una perspectiva práctica</w:t>
      </w:r>
    </w:p>
    <w:p w:rsidR="00000000" w:rsidDel="00000000" w:rsidP="00000000" w:rsidRDefault="00000000" w:rsidRPr="00000000" w14:paraId="00000007">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Equipo docente: Martín Moreno y Javier Chiossi (DINEM-MIDES)</w:t>
      </w:r>
    </w:p>
    <w:p w:rsidR="00000000" w:rsidDel="00000000" w:rsidP="00000000" w:rsidRDefault="00000000" w:rsidRPr="00000000" w14:paraId="00000008">
      <w:pPr>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vertAlign w:val="baseline"/>
        </w:rPr>
      </w:pPr>
      <w:r w:rsidDel="00000000" w:rsidR="00000000" w:rsidRPr="00000000">
        <w:rPr>
          <w:rFonts w:ascii="Tahoma" w:cs="Tahoma" w:eastAsia="Tahoma" w:hAnsi="Tahoma"/>
          <w:b w:val="0"/>
          <w:i w:val="0"/>
          <w:smallCaps w:val="0"/>
          <w:strike w:val="0"/>
          <w:color w:val="000000"/>
          <w:vertAlign w:val="baseline"/>
          <w:rtl w:val="0"/>
        </w:rPr>
        <w:t xml:space="preserve">Desde el </w:t>
      </w:r>
      <w:r w:rsidDel="00000000" w:rsidR="00000000" w:rsidRPr="00000000">
        <w:rPr>
          <w:rFonts w:ascii="Tahoma" w:cs="Tahoma" w:eastAsia="Tahoma" w:hAnsi="Tahoma"/>
          <w:rtl w:val="0"/>
        </w:rPr>
        <w:t xml:space="preserve">26 de agosto hasta el 25 de setiembre de 2020.</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vertAlign w:val="baseline"/>
        </w:rPr>
      </w:pPr>
      <w:bookmarkStart w:colFirst="0" w:colLast="0" w:name="_gjdgxs" w:id="0"/>
      <w:bookmarkEnd w:id="0"/>
      <w:r w:rsidDel="00000000" w:rsidR="00000000" w:rsidRPr="00000000">
        <w:rPr>
          <w:rFonts w:ascii="Tahoma" w:cs="Tahoma" w:eastAsia="Tahoma" w:hAnsi="Tahoma"/>
          <w:rtl w:val="0"/>
        </w:rPr>
        <w:t xml:space="preserve">Miércoles y viernes de 18 a 20 hs.</w:t>
      </w:r>
      <w:r w:rsidDel="00000000" w:rsidR="00000000" w:rsidRPr="00000000">
        <w:rPr>
          <w:rFonts w:ascii="Tahoma" w:cs="Tahoma" w:eastAsia="Tahoma" w:hAnsi="Tahoma"/>
          <w:b w:val="0"/>
          <w:i w:val="0"/>
          <w:smallCaps w:val="0"/>
          <w:strike w:val="0"/>
          <w:color w:val="000000"/>
          <w:vertAlign w:val="baseline"/>
          <w:rtl w:val="0"/>
        </w:rPr>
        <w:t xml:space="preserve">, </w:t>
      </w:r>
      <w:r w:rsidDel="00000000" w:rsidR="00000000" w:rsidRPr="00000000">
        <w:rPr>
          <w:rFonts w:ascii="Tahoma" w:cs="Tahoma" w:eastAsia="Tahoma" w:hAnsi="Tahoma"/>
          <w:rtl w:val="0"/>
        </w:rPr>
        <w:t xml:space="preserve">modalidad virtual</w:t>
      </w:r>
      <w:r w:rsidDel="00000000" w:rsidR="00000000" w:rsidRPr="00000000">
        <w:rPr>
          <w:rFonts w:ascii="Tahoma" w:cs="Tahoma" w:eastAsia="Tahoma" w:hAnsi="Tahoma"/>
          <w:b w:val="0"/>
          <w:i w:val="0"/>
          <w:smallCaps w:val="0"/>
          <w:strike w:val="0"/>
          <w:color w:val="000000"/>
          <w:vertAlign w:val="baseline"/>
          <w:rtl w:val="0"/>
        </w:rPr>
        <w:t xml:space="preserve">.</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bookmarkStart w:colFirst="0" w:colLast="0" w:name="_dgfioew283ja" w:id="1"/>
      <w:bookmarkEnd w:id="1"/>
      <w:r w:rsidDel="00000000" w:rsidR="00000000" w:rsidRPr="00000000">
        <w:rPr>
          <w:rFonts w:ascii="Tahoma" w:cs="Tahoma" w:eastAsia="Tahoma" w:hAnsi="Tahoma"/>
          <w:rtl w:val="0"/>
        </w:rPr>
        <w:t xml:space="preserve">A través de la plataforma Zoom.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Tahoma" w:cs="Tahoma" w:eastAsia="Tahoma" w:hAnsi="Tahoma"/>
          <w:b w:val="0"/>
          <w:i w:val="0"/>
          <w:smallCaps w:val="0"/>
          <w:strike w:val="0"/>
          <w:color w:val="000000"/>
          <w:shd w:fill="auto" w:val="clear"/>
          <w:vertAlign w:val="baseline"/>
          <w:rtl w:val="0"/>
        </w:rPr>
        <w:t xml:space="preserve">Carga horaria:</w:t>
      </w:r>
      <w:r w:rsidDel="00000000" w:rsidR="00000000" w:rsidRPr="00000000">
        <w:rPr>
          <w:rFonts w:ascii="Tahoma" w:cs="Tahoma" w:eastAsia="Tahoma" w:hAnsi="Tahoma"/>
          <w:rtl w:val="0"/>
        </w:rPr>
        <w:t xml:space="preserve"> 20 horas.</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Tahoma" w:cs="Tahoma" w:eastAsia="Tahoma" w:hAnsi="Tahoma"/>
          <w:b w:val="0"/>
          <w:i w:val="0"/>
          <w:smallCaps w:val="0"/>
          <w:strike w:val="0"/>
          <w:color w:val="000000"/>
          <w:vertAlign w:val="baseline"/>
          <w:rtl w:val="0"/>
        </w:rPr>
        <w:t xml:space="preserve">Matrícula: </w:t>
      </w:r>
      <w:r w:rsidDel="00000000" w:rsidR="00000000" w:rsidRPr="00000000">
        <w:rPr>
          <w:rFonts w:ascii="Tahoma" w:cs="Tahoma" w:eastAsia="Tahoma" w:hAnsi="Tahoma"/>
          <w:rtl w:val="0"/>
        </w:rPr>
        <w:t xml:space="preserve">$3.118.</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hd w:fill="auto" w:val="clear"/>
          <w:vertAlign w:val="baseline"/>
        </w:rPr>
      </w:pPr>
      <w:r w:rsidDel="00000000" w:rsidR="00000000" w:rsidRPr="00000000">
        <w:rPr>
          <w:rFonts w:ascii="Tahoma" w:cs="Tahoma" w:eastAsia="Tahoma" w:hAnsi="Tahoma"/>
          <w:b w:val="0"/>
          <w:i w:val="0"/>
          <w:smallCaps w:val="0"/>
          <w:strike w:val="0"/>
          <w:color w:val="000000"/>
          <w:shd w:fill="auto" w:val="clear"/>
          <w:vertAlign w:val="baseline"/>
          <w:rtl w:val="0"/>
        </w:rPr>
        <w:t xml:space="preserve">Dirigido a egresadas/os universitarios</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b w:val="0"/>
          <w:i w:val="0"/>
          <w:smallCaps w:val="0"/>
          <w:strike w:val="0"/>
          <w:color w:val="000000"/>
          <w:shd w:fill="auto" w:val="clear"/>
          <w:vertAlign w:val="baseline"/>
          <w:rtl w:val="0"/>
        </w:rPr>
        <w:t xml:space="preserve"> estudiantes de posgrad</w:t>
      </w:r>
      <w:r w:rsidDel="00000000" w:rsidR="00000000" w:rsidRPr="00000000">
        <w:rPr>
          <w:rFonts w:ascii="Tahoma" w:cs="Tahoma" w:eastAsia="Tahoma" w:hAnsi="Tahoma"/>
          <w:rtl w:val="0"/>
        </w:rPr>
        <w:t xml:space="preserve">o y estudiantes de grado avanzadas/os.</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vertAlign w:val="baseline"/>
        </w:rPr>
      </w:pPr>
      <w:hyperlink r:id="rId7">
        <w:r w:rsidDel="00000000" w:rsidR="00000000" w:rsidRPr="00000000">
          <w:rPr>
            <w:rFonts w:ascii="Tahoma" w:cs="Tahoma" w:eastAsia="Tahoma" w:hAnsi="Tahoma"/>
            <w:color w:val="1155cc"/>
            <w:u w:val="single"/>
            <w:rtl w:val="0"/>
          </w:rPr>
          <w:t xml:space="preserve">Formulario de inscripción</w:t>
        </w:r>
      </w:hyperlink>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strike w:val="1"/>
        </w:rPr>
      </w:pPr>
      <w:r w:rsidDel="00000000" w:rsidR="00000000" w:rsidRPr="00000000">
        <w:rPr>
          <w:rtl w:val="0"/>
        </w:rPr>
      </w:r>
    </w:p>
    <w:p w:rsidR="00000000" w:rsidDel="00000000" w:rsidP="00000000" w:rsidRDefault="00000000" w:rsidRPr="00000000" w14:paraId="00000011">
      <w:pPr>
        <w:jc w:val="both"/>
        <w:rPr>
          <w:rFonts w:ascii="Tahoma" w:cs="Tahoma" w:eastAsia="Tahoma" w:hAnsi="Tahoma"/>
          <w:b w:val="1"/>
        </w:rPr>
      </w:pPr>
      <w:r w:rsidDel="00000000" w:rsidR="00000000" w:rsidRPr="00000000">
        <w:rPr>
          <w:rFonts w:ascii="Tahoma" w:cs="Tahoma" w:eastAsia="Tahoma" w:hAnsi="Tahoma"/>
          <w:b w:val="1"/>
          <w:u w:val="single"/>
          <w:rtl w:val="0"/>
        </w:rPr>
        <w:t xml:space="preserve">Objetivos</w:t>
      </w:r>
      <w:r w:rsidDel="00000000" w:rsidR="00000000" w:rsidRPr="00000000">
        <w:rPr>
          <w:rFonts w:ascii="Tahoma" w:cs="Tahoma" w:eastAsia="Tahoma" w:hAnsi="Tahoma"/>
          <w:b w:val="1"/>
          <w:rtl w:val="0"/>
        </w:rPr>
        <w:t xml:space="preserve">: </w:t>
      </w:r>
    </w:p>
    <w:p w:rsidR="00000000" w:rsidDel="00000000" w:rsidP="00000000" w:rsidRDefault="00000000" w:rsidRPr="00000000" w14:paraId="00000012">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Este curso pretende brindar un panorámico sobre la tarea de evaluación de programas sociales enmarcada en el sector público. El mismo se enfoca en primer lugar en el desarrollo de las condiciones de factibilidad para la evaluación de una acción de política pública, abarcando tanto aspectos metodológicos como el diseño de los indicadores, la teoría de cambio del programa a evaluar o el diseño como los procesos de negociación involucrados con los distintos actores involucrados e interesados (stakeholders). En segundo lugar, estructurado en torno al tipo de preguntas que se plantea el evaluador, se repasan los principales tipos de evaluación y técnicas, con énfasis en el criterio de flexibilidad como identitario de la práctica evaluativa. Para finalizar, se presentan algunos de los principales problemas de la práctica evaluativa en el sector público.</w:t>
      </w:r>
    </w:p>
    <w:p w:rsidR="00000000" w:rsidDel="00000000" w:rsidP="00000000" w:rsidRDefault="00000000" w:rsidRPr="00000000" w14:paraId="00000014">
      <w:pPr>
        <w:shd w:fill="ffffff" w:val="clear"/>
        <w:spacing w:after="280" w:before="280" w:line="240" w:lineRule="auto"/>
        <w:jc w:val="both"/>
        <w:rPr>
          <w:rFonts w:ascii="Tahoma" w:cs="Tahoma" w:eastAsia="Tahoma" w:hAnsi="Tahoma"/>
          <w:u w:val="single"/>
        </w:rPr>
      </w:pPr>
      <w:r w:rsidDel="00000000" w:rsidR="00000000" w:rsidRPr="00000000">
        <w:rPr>
          <w:rFonts w:ascii="Tahoma" w:cs="Tahoma" w:eastAsia="Tahoma" w:hAnsi="Tahoma"/>
          <w:b w:val="1"/>
          <w:u w:val="single"/>
          <w:rtl w:val="0"/>
        </w:rPr>
        <w:t xml:space="preserve">Contenidos</w:t>
      </w:r>
      <w:r w:rsidDel="00000000" w:rsidR="00000000" w:rsidRPr="00000000">
        <w:rPr>
          <w:rFonts w:ascii="Tahoma" w:cs="Tahoma" w:eastAsia="Tahoma" w:hAnsi="Tahoma"/>
          <w:b w:val="1"/>
          <w:rtl w:val="0"/>
        </w:rPr>
        <w:t xml:space="preserve">:</w:t>
      </w:r>
      <w:r w:rsidDel="00000000" w:rsidR="00000000" w:rsidRPr="00000000">
        <w:rPr>
          <w:rtl w:val="0"/>
        </w:rPr>
      </w:r>
    </w:p>
    <w:p w:rsidR="00000000" w:rsidDel="00000000" w:rsidP="00000000" w:rsidRDefault="00000000" w:rsidRPr="00000000" w14:paraId="00000015">
      <w:pPr>
        <w:shd w:fill="ffffff" w:val="clear"/>
        <w:spacing w:after="0" w:before="0" w:line="240" w:lineRule="auto"/>
        <w:ind w:left="0" w:firstLine="0"/>
        <w:jc w:val="both"/>
        <w:rPr>
          <w:rFonts w:ascii="Tahoma" w:cs="Tahoma" w:eastAsia="Tahoma" w:hAnsi="Tahoma"/>
        </w:rPr>
      </w:pPr>
      <w:r w:rsidDel="00000000" w:rsidR="00000000" w:rsidRPr="00000000">
        <w:rPr>
          <w:rFonts w:ascii="Tahoma" w:cs="Tahoma" w:eastAsia="Tahoma" w:hAnsi="Tahoma"/>
          <w:rtl w:val="0"/>
        </w:rPr>
        <w:t xml:space="preserve">1. Presentación: qué es evaluar</w:t>
      </w:r>
    </w:p>
    <w:p w:rsidR="00000000" w:rsidDel="00000000" w:rsidP="00000000" w:rsidRDefault="00000000" w:rsidRPr="00000000" w14:paraId="00000016">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7">
      <w:pPr>
        <w:numPr>
          <w:ilvl w:val="0"/>
          <w:numId w:val="4"/>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Definición</w:t>
      </w:r>
    </w:p>
    <w:p w:rsidR="00000000" w:rsidDel="00000000" w:rsidP="00000000" w:rsidRDefault="00000000" w:rsidRPr="00000000" w14:paraId="00000018">
      <w:pPr>
        <w:numPr>
          <w:ilvl w:val="0"/>
          <w:numId w:val="4"/>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Evaluación como política pública</w:t>
      </w:r>
    </w:p>
    <w:p w:rsidR="00000000" w:rsidDel="00000000" w:rsidP="00000000" w:rsidRDefault="00000000" w:rsidRPr="00000000" w14:paraId="00000019">
      <w:pPr>
        <w:numPr>
          <w:ilvl w:val="0"/>
          <w:numId w:val="4"/>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Evaluación y monitoreo</w:t>
      </w:r>
    </w:p>
    <w:p w:rsidR="00000000" w:rsidDel="00000000" w:rsidP="00000000" w:rsidRDefault="00000000" w:rsidRPr="00000000" w14:paraId="0000001A">
      <w:pPr>
        <w:numPr>
          <w:ilvl w:val="0"/>
          <w:numId w:val="4"/>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Evaluación e investigación</w:t>
      </w:r>
    </w:p>
    <w:p w:rsidR="00000000" w:rsidDel="00000000" w:rsidP="00000000" w:rsidRDefault="00000000" w:rsidRPr="00000000" w14:paraId="0000001B">
      <w:pPr>
        <w:numPr>
          <w:ilvl w:val="0"/>
          <w:numId w:val="4"/>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Orientación de la evaluación pública</w:t>
      </w:r>
    </w:p>
    <w:p w:rsidR="00000000" w:rsidDel="00000000" w:rsidP="00000000" w:rsidRDefault="00000000" w:rsidRPr="00000000" w14:paraId="0000001C">
      <w:pPr>
        <w:numPr>
          <w:ilvl w:val="0"/>
          <w:numId w:val="4"/>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Tipos de evaluación</w:t>
      </w:r>
    </w:p>
    <w:p w:rsidR="00000000" w:rsidDel="00000000" w:rsidP="00000000" w:rsidRDefault="00000000" w:rsidRPr="00000000" w14:paraId="0000001D">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E">
      <w:pPr>
        <w:shd w:fill="ffffff" w:val="clear"/>
        <w:spacing w:after="0" w:before="0" w:line="240" w:lineRule="auto"/>
        <w:ind w:left="0" w:firstLine="0"/>
        <w:jc w:val="both"/>
        <w:rPr>
          <w:rFonts w:ascii="Tahoma" w:cs="Tahoma" w:eastAsia="Tahoma" w:hAnsi="Tahoma"/>
        </w:rPr>
      </w:pPr>
      <w:r w:rsidDel="00000000" w:rsidR="00000000" w:rsidRPr="00000000">
        <w:rPr>
          <w:rFonts w:ascii="Tahoma" w:cs="Tahoma" w:eastAsia="Tahoma" w:hAnsi="Tahoma"/>
          <w:rtl w:val="0"/>
        </w:rPr>
        <w:t xml:space="preserve">2. Tipos de evaluación</w:t>
      </w:r>
    </w:p>
    <w:p w:rsidR="00000000" w:rsidDel="00000000" w:rsidP="00000000" w:rsidRDefault="00000000" w:rsidRPr="00000000" w14:paraId="0000001F">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0">
      <w:pPr>
        <w:numPr>
          <w:ilvl w:val="0"/>
          <w:numId w:val="1"/>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Según el momento de realización: evaluación ex ante, in intinerem, ex post</w:t>
      </w:r>
    </w:p>
    <w:p w:rsidR="00000000" w:rsidDel="00000000" w:rsidP="00000000" w:rsidRDefault="00000000" w:rsidRPr="00000000" w14:paraId="00000021">
      <w:pPr>
        <w:numPr>
          <w:ilvl w:val="0"/>
          <w:numId w:val="1"/>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Según la pregunta: necesidades, procesos, productos, resultados, impacto</w:t>
      </w:r>
    </w:p>
    <w:p w:rsidR="00000000" w:rsidDel="00000000" w:rsidP="00000000" w:rsidRDefault="00000000" w:rsidRPr="00000000" w14:paraId="00000022">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3">
      <w:pPr>
        <w:shd w:fill="ffffff" w:val="clear"/>
        <w:spacing w:after="0" w:before="0" w:line="240" w:lineRule="auto"/>
        <w:ind w:left="0" w:firstLine="0"/>
        <w:jc w:val="both"/>
        <w:rPr>
          <w:rFonts w:ascii="Tahoma" w:cs="Tahoma" w:eastAsia="Tahoma" w:hAnsi="Tahoma"/>
        </w:rPr>
      </w:pPr>
      <w:r w:rsidDel="00000000" w:rsidR="00000000" w:rsidRPr="00000000">
        <w:rPr>
          <w:rFonts w:ascii="Tahoma" w:cs="Tahoma" w:eastAsia="Tahoma" w:hAnsi="Tahoma"/>
          <w:rtl w:val="0"/>
        </w:rPr>
        <w:t xml:space="preserve">3. Herramientas básicas para la evaluación</w:t>
      </w:r>
    </w:p>
    <w:p w:rsidR="00000000" w:rsidDel="00000000" w:rsidP="00000000" w:rsidRDefault="00000000" w:rsidRPr="00000000" w14:paraId="00000024">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5">
      <w:pPr>
        <w:numPr>
          <w:ilvl w:val="0"/>
          <w:numId w:val="2"/>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Indicadores</w:t>
      </w:r>
    </w:p>
    <w:p w:rsidR="00000000" w:rsidDel="00000000" w:rsidP="00000000" w:rsidRDefault="00000000" w:rsidRPr="00000000" w14:paraId="00000026">
      <w:pPr>
        <w:numPr>
          <w:ilvl w:val="0"/>
          <w:numId w:val="2"/>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Marco Lógico</w:t>
      </w:r>
    </w:p>
    <w:p w:rsidR="00000000" w:rsidDel="00000000" w:rsidP="00000000" w:rsidRDefault="00000000" w:rsidRPr="00000000" w14:paraId="00000027">
      <w:pPr>
        <w:numPr>
          <w:ilvl w:val="0"/>
          <w:numId w:val="2"/>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Teoría de cambio</w:t>
      </w:r>
    </w:p>
    <w:p w:rsidR="00000000" w:rsidDel="00000000" w:rsidP="00000000" w:rsidRDefault="00000000" w:rsidRPr="00000000" w14:paraId="00000028">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shd w:fill="ffffff" w:val="clear"/>
        <w:spacing w:after="0" w:before="0" w:line="240" w:lineRule="auto"/>
        <w:ind w:left="0" w:firstLine="0"/>
        <w:jc w:val="both"/>
        <w:rPr>
          <w:rFonts w:ascii="Tahoma" w:cs="Tahoma" w:eastAsia="Tahoma" w:hAnsi="Tahoma"/>
        </w:rPr>
      </w:pPr>
      <w:r w:rsidDel="00000000" w:rsidR="00000000" w:rsidRPr="00000000">
        <w:rPr>
          <w:rFonts w:ascii="Tahoma" w:cs="Tahoma" w:eastAsia="Tahoma" w:hAnsi="Tahoma"/>
          <w:rtl w:val="0"/>
        </w:rPr>
        <w:t xml:space="preserve">4. Metodología de la evaluación</w:t>
      </w:r>
    </w:p>
    <w:p w:rsidR="00000000" w:rsidDel="00000000" w:rsidP="00000000" w:rsidRDefault="00000000" w:rsidRPr="00000000" w14:paraId="0000002A">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B">
      <w:pPr>
        <w:numPr>
          <w:ilvl w:val="0"/>
          <w:numId w:val="3"/>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Técnicas cuantitativas y tipos de preguntas a las que dan respuesta</w:t>
      </w:r>
    </w:p>
    <w:p w:rsidR="00000000" w:rsidDel="00000000" w:rsidP="00000000" w:rsidRDefault="00000000" w:rsidRPr="00000000" w14:paraId="0000002C">
      <w:pPr>
        <w:numPr>
          <w:ilvl w:val="0"/>
          <w:numId w:val="3"/>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Técnicas cualitativas y tipos de preguntas a las que dan respuesta</w:t>
      </w:r>
    </w:p>
    <w:p w:rsidR="00000000" w:rsidDel="00000000" w:rsidP="00000000" w:rsidRDefault="00000000" w:rsidRPr="00000000" w14:paraId="0000002D">
      <w:pPr>
        <w:numPr>
          <w:ilvl w:val="0"/>
          <w:numId w:val="3"/>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Métodos combinados</w:t>
      </w:r>
    </w:p>
    <w:p w:rsidR="00000000" w:rsidDel="00000000" w:rsidP="00000000" w:rsidRDefault="00000000" w:rsidRPr="00000000" w14:paraId="0000002E">
      <w:pPr>
        <w:shd w:fill="ffffff" w:val="clear"/>
        <w:spacing w:after="0" w:before="0" w:lin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F">
      <w:pPr>
        <w:shd w:fill="ffffff" w:val="clear"/>
        <w:spacing w:after="0" w:before="0" w:line="240" w:lineRule="auto"/>
        <w:ind w:left="0" w:firstLine="0"/>
        <w:jc w:val="both"/>
        <w:rPr>
          <w:rFonts w:ascii="Tahoma" w:cs="Tahoma" w:eastAsia="Tahoma" w:hAnsi="Tahoma"/>
        </w:rPr>
      </w:pPr>
      <w:r w:rsidDel="00000000" w:rsidR="00000000" w:rsidRPr="00000000">
        <w:rPr>
          <w:rFonts w:ascii="Tahoma" w:cs="Tahoma" w:eastAsia="Tahoma" w:hAnsi="Tahoma"/>
          <w:rtl w:val="0"/>
        </w:rPr>
        <w:t xml:space="preserve">5. Evaluación de impacto (sesiones 5 y 6)</w:t>
      </w:r>
    </w:p>
    <w:p w:rsidR="00000000" w:rsidDel="00000000" w:rsidP="00000000" w:rsidRDefault="00000000" w:rsidRPr="00000000" w14:paraId="00000030">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1">
      <w:pPr>
        <w:numPr>
          <w:ilvl w:val="0"/>
          <w:numId w:val="5"/>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Qué es una evaluación de impacto. Definición de impacto.</w:t>
      </w:r>
    </w:p>
    <w:p w:rsidR="00000000" w:rsidDel="00000000" w:rsidP="00000000" w:rsidRDefault="00000000" w:rsidRPr="00000000" w14:paraId="00000032">
      <w:pPr>
        <w:numPr>
          <w:ilvl w:val="0"/>
          <w:numId w:val="5"/>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Problema fundamental de la evaluación de impacto: construcción del contrafactual</w:t>
      </w:r>
    </w:p>
    <w:p w:rsidR="00000000" w:rsidDel="00000000" w:rsidP="00000000" w:rsidRDefault="00000000" w:rsidRPr="00000000" w14:paraId="00000033">
      <w:pPr>
        <w:numPr>
          <w:ilvl w:val="0"/>
          <w:numId w:val="5"/>
        </w:numPr>
        <w:shd w:fill="ffffff"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Técnicas de identificación de impacto:</w:t>
      </w:r>
    </w:p>
    <w:p w:rsidR="00000000" w:rsidDel="00000000" w:rsidP="00000000" w:rsidRDefault="00000000" w:rsidRPr="00000000" w14:paraId="00000034">
      <w:pPr>
        <w:numPr>
          <w:ilvl w:val="0"/>
          <w:numId w:val="7"/>
        </w:numPr>
        <w:shd w:fill="ffffff" w:val="clear"/>
        <w:spacing w:after="0" w:before="0" w:line="240" w:lineRule="auto"/>
        <w:ind w:left="720" w:firstLine="413.8582677165351"/>
        <w:jc w:val="both"/>
        <w:rPr>
          <w:rFonts w:ascii="Tahoma" w:cs="Tahoma" w:eastAsia="Tahoma" w:hAnsi="Tahoma"/>
          <w:u w:val="none"/>
        </w:rPr>
      </w:pPr>
      <w:r w:rsidDel="00000000" w:rsidR="00000000" w:rsidRPr="00000000">
        <w:rPr>
          <w:rFonts w:ascii="Tahoma" w:cs="Tahoma" w:eastAsia="Tahoma" w:hAnsi="Tahoma"/>
          <w:rtl w:val="0"/>
        </w:rPr>
        <w:t xml:space="preserve">RCT (Random control trial, aleatorización)</w:t>
      </w:r>
    </w:p>
    <w:p w:rsidR="00000000" w:rsidDel="00000000" w:rsidP="00000000" w:rsidRDefault="00000000" w:rsidRPr="00000000" w14:paraId="00000035">
      <w:pPr>
        <w:numPr>
          <w:ilvl w:val="0"/>
          <w:numId w:val="7"/>
        </w:numPr>
        <w:shd w:fill="ffffff" w:val="clear"/>
        <w:spacing w:after="0" w:before="0" w:line="240" w:lineRule="auto"/>
        <w:ind w:left="720" w:firstLine="413.8582677165351"/>
        <w:jc w:val="both"/>
        <w:rPr>
          <w:rFonts w:ascii="Tahoma" w:cs="Tahoma" w:eastAsia="Tahoma" w:hAnsi="Tahoma"/>
          <w:u w:val="none"/>
        </w:rPr>
      </w:pPr>
      <w:r w:rsidDel="00000000" w:rsidR="00000000" w:rsidRPr="00000000">
        <w:rPr>
          <w:rFonts w:ascii="Tahoma" w:cs="Tahoma" w:eastAsia="Tahoma" w:hAnsi="Tahoma"/>
          <w:rtl w:val="0"/>
        </w:rPr>
        <w:t xml:space="preserve">RD (Regresión discontinua)</w:t>
      </w:r>
    </w:p>
    <w:p w:rsidR="00000000" w:rsidDel="00000000" w:rsidP="00000000" w:rsidRDefault="00000000" w:rsidRPr="00000000" w14:paraId="00000036">
      <w:pPr>
        <w:numPr>
          <w:ilvl w:val="0"/>
          <w:numId w:val="7"/>
        </w:numPr>
        <w:shd w:fill="ffffff" w:val="clear"/>
        <w:spacing w:after="0" w:before="0" w:line="240" w:lineRule="auto"/>
        <w:ind w:left="720" w:firstLine="413.8582677165351"/>
        <w:jc w:val="both"/>
        <w:rPr>
          <w:rFonts w:ascii="Tahoma" w:cs="Tahoma" w:eastAsia="Tahoma" w:hAnsi="Tahoma"/>
          <w:u w:val="none"/>
        </w:rPr>
      </w:pPr>
      <w:r w:rsidDel="00000000" w:rsidR="00000000" w:rsidRPr="00000000">
        <w:rPr>
          <w:rFonts w:ascii="Tahoma" w:cs="Tahoma" w:eastAsia="Tahoma" w:hAnsi="Tahoma"/>
          <w:rtl w:val="0"/>
        </w:rPr>
        <w:t xml:space="preserve">IV (Variables instrumentales)</w:t>
      </w:r>
    </w:p>
    <w:p w:rsidR="00000000" w:rsidDel="00000000" w:rsidP="00000000" w:rsidRDefault="00000000" w:rsidRPr="00000000" w14:paraId="00000037">
      <w:pPr>
        <w:numPr>
          <w:ilvl w:val="0"/>
          <w:numId w:val="7"/>
        </w:numPr>
        <w:shd w:fill="ffffff" w:val="clear"/>
        <w:spacing w:after="0" w:before="0" w:line="240" w:lineRule="auto"/>
        <w:ind w:left="720" w:firstLine="413.8582677165351"/>
        <w:jc w:val="both"/>
        <w:rPr>
          <w:rFonts w:ascii="Tahoma" w:cs="Tahoma" w:eastAsia="Tahoma" w:hAnsi="Tahoma"/>
          <w:u w:val="none"/>
        </w:rPr>
      </w:pPr>
      <w:r w:rsidDel="00000000" w:rsidR="00000000" w:rsidRPr="00000000">
        <w:rPr>
          <w:rFonts w:ascii="Tahoma" w:cs="Tahoma" w:eastAsia="Tahoma" w:hAnsi="Tahoma"/>
          <w:rtl w:val="0"/>
        </w:rPr>
        <w:t xml:space="preserve">DiD (Diferencias en diferencias o dobles diferencias)</w:t>
      </w:r>
    </w:p>
    <w:p w:rsidR="00000000" w:rsidDel="00000000" w:rsidP="00000000" w:rsidRDefault="00000000" w:rsidRPr="00000000" w14:paraId="00000038">
      <w:pPr>
        <w:numPr>
          <w:ilvl w:val="0"/>
          <w:numId w:val="7"/>
        </w:numPr>
        <w:shd w:fill="ffffff" w:val="clear"/>
        <w:spacing w:after="0" w:before="0" w:line="240" w:lineRule="auto"/>
        <w:ind w:left="720" w:firstLine="413.8582677165351"/>
        <w:jc w:val="both"/>
        <w:rPr>
          <w:rFonts w:ascii="Tahoma" w:cs="Tahoma" w:eastAsia="Tahoma" w:hAnsi="Tahoma"/>
          <w:u w:val="none"/>
        </w:rPr>
      </w:pPr>
      <w:r w:rsidDel="00000000" w:rsidR="00000000" w:rsidRPr="00000000">
        <w:rPr>
          <w:rFonts w:ascii="Tahoma" w:cs="Tahoma" w:eastAsia="Tahoma" w:hAnsi="Tahoma"/>
          <w:rtl w:val="0"/>
        </w:rPr>
        <w:t xml:space="preserve">Matching (Emparejamiento)</w:t>
      </w:r>
    </w:p>
    <w:p w:rsidR="00000000" w:rsidDel="00000000" w:rsidP="00000000" w:rsidRDefault="00000000" w:rsidRPr="00000000" w14:paraId="00000039">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A">
      <w:pPr>
        <w:shd w:fill="ffffff" w:val="clear"/>
        <w:spacing w:after="0" w:before="0" w:line="240" w:lineRule="auto"/>
        <w:ind w:left="0" w:firstLine="0"/>
        <w:jc w:val="both"/>
        <w:rPr>
          <w:rFonts w:ascii="Tahoma" w:cs="Tahoma" w:eastAsia="Tahoma" w:hAnsi="Tahoma"/>
        </w:rPr>
      </w:pPr>
      <w:r w:rsidDel="00000000" w:rsidR="00000000" w:rsidRPr="00000000">
        <w:rPr>
          <w:rFonts w:ascii="Tahoma" w:cs="Tahoma" w:eastAsia="Tahoma" w:hAnsi="Tahoma"/>
          <w:rtl w:val="0"/>
        </w:rPr>
        <w:t xml:space="preserve">6. Comunicación, validación e incidencia de la evaluación y sus hallazgos. (sesión 7)</w:t>
      </w:r>
    </w:p>
    <w:p w:rsidR="00000000" w:rsidDel="00000000" w:rsidP="00000000" w:rsidRDefault="00000000" w:rsidRPr="00000000" w14:paraId="0000003B">
      <w:pPr>
        <w:shd w:fill="ffffff" w:val="clear"/>
        <w:spacing w:after="0" w:before="0" w:lin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C">
      <w:pPr>
        <w:shd w:fill="ffffff" w:val="clear"/>
        <w:spacing w:after="0" w:before="0" w:line="240" w:lineRule="auto"/>
        <w:ind w:left="0" w:firstLine="0"/>
        <w:jc w:val="both"/>
        <w:rPr>
          <w:rFonts w:ascii="Tahoma" w:cs="Tahoma" w:eastAsia="Tahoma" w:hAnsi="Tahoma"/>
        </w:rPr>
      </w:pPr>
      <w:r w:rsidDel="00000000" w:rsidR="00000000" w:rsidRPr="00000000">
        <w:rPr>
          <w:rFonts w:ascii="Tahoma" w:cs="Tahoma" w:eastAsia="Tahoma" w:hAnsi="Tahoma"/>
          <w:rtl w:val="0"/>
        </w:rPr>
        <w:t xml:space="preserve">7. Repaso, discusión y propuesta de evaluación para el cierre del curso (sesión 8)</w:t>
      </w:r>
    </w:p>
    <w:p w:rsidR="00000000" w:rsidDel="00000000" w:rsidP="00000000" w:rsidRDefault="00000000" w:rsidRPr="00000000" w14:paraId="0000003D">
      <w:pPr>
        <w:shd w:fill="ffffff" w:val="clear"/>
        <w:spacing w:after="280" w:before="280" w:line="240" w:lineRule="auto"/>
        <w:rPr>
          <w:rFonts w:ascii="Tahoma" w:cs="Tahoma" w:eastAsia="Tahoma" w:hAnsi="Tahoma"/>
          <w:b w:val="1"/>
        </w:rPr>
      </w:pPr>
      <w:r w:rsidDel="00000000" w:rsidR="00000000" w:rsidRPr="00000000">
        <w:rPr>
          <w:rFonts w:ascii="Tahoma" w:cs="Tahoma" w:eastAsia="Tahoma" w:hAnsi="Tahoma"/>
          <w:b w:val="1"/>
          <w:u w:val="single"/>
          <w:rtl w:val="0"/>
        </w:rPr>
        <w:t xml:space="preserve">Método didáctico</w:t>
      </w:r>
      <w:r w:rsidDel="00000000" w:rsidR="00000000" w:rsidRPr="00000000">
        <w:rPr>
          <w:rFonts w:ascii="Tahoma" w:cs="Tahoma" w:eastAsia="Tahoma" w:hAnsi="Tahoma"/>
          <w:b w:val="1"/>
          <w:rtl w:val="0"/>
        </w:rPr>
        <w:t xml:space="preserve">:</w:t>
      </w:r>
    </w:p>
    <w:p w:rsidR="00000000" w:rsidDel="00000000" w:rsidP="00000000" w:rsidRDefault="00000000" w:rsidRPr="00000000" w14:paraId="0000003E">
      <w:pPr>
        <w:jc w:val="both"/>
        <w:rPr>
          <w:rFonts w:ascii="Tahoma" w:cs="Tahoma" w:eastAsia="Tahoma" w:hAnsi="Tahoma"/>
        </w:rPr>
      </w:pPr>
      <w:r w:rsidDel="00000000" w:rsidR="00000000" w:rsidRPr="00000000">
        <w:rPr>
          <w:rFonts w:ascii="Tahoma" w:cs="Tahoma" w:eastAsia="Tahoma" w:hAnsi="Tahoma"/>
          <w:rtl w:val="0"/>
        </w:rPr>
        <w:t xml:space="preserve">El curso, en el marco de directrices de la UdelaR ante la situación del COVID-19 en el país, se realizará de manera virtual, en 8 sesiones de 2 horas de trabajo a la que deben sumarse tareas y evaluaciones no presenciales (4 horas).</w:t>
      </w:r>
    </w:p>
    <w:p w:rsidR="00000000" w:rsidDel="00000000" w:rsidP="00000000" w:rsidRDefault="00000000" w:rsidRPr="00000000" w14:paraId="0000003F">
      <w:pPr>
        <w:jc w:val="both"/>
        <w:rPr>
          <w:rFonts w:ascii="Tahoma" w:cs="Tahoma" w:eastAsia="Tahoma" w:hAnsi="Tahoma"/>
        </w:rPr>
      </w:pPr>
      <w:r w:rsidDel="00000000" w:rsidR="00000000" w:rsidRPr="00000000">
        <w:rPr>
          <w:rFonts w:ascii="Tahoma" w:cs="Tahoma" w:eastAsia="Tahoma" w:hAnsi="Tahoma"/>
          <w:rtl w:val="0"/>
        </w:rPr>
        <w:t xml:space="preserve">Cada sesión se organizará en 3 etapas. La primera de presentación teórica y expositiva de la temática; la segunda se abordará la temática a la luz de ejemplos prácticos (con la experiencia aplicada a algunos programas sociales específicos); la tercera, consistirá en trabajo en equipo entre los/las estudiantes para aplicar lo visto en la sesión y discusión.</w:t>
      </w:r>
    </w:p>
    <w:p w:rsidR="00000000" w:rsidDel="00000000" w:rsidP="00000000" w:rsidRDefault="00000000" w:rsidRPr="00000000" w14:paraId="00000040">
      <w:pPr>
        <w:shd w:fill="ffffff" w:val="clear"/>
        <w:spacing w:after="280" w:before="280" w:lineRule="auto"/>
        <w:rPr>
          <w:rFonts w:ascii="Tahoma" w:cs="Tahoma" w:eastAsia="Tahoma" w:hAnsi="Tahoma"/>
          <w:b w:val="1"/>
        </w:rPr>
      </w:pPr>
      <w:r w:rsidDel="00000000" w:rsidR="00000000" w:rsidRPr="00000000">
        <w:rPr>
          <w:rFonts w:ascii="Tahoma" w:cs="Tahoma" w:eastAsia="Tahoma" w:hAnsi="Tahoma"/>
          <w:b w:val="1"/>
          <w:u w:val="single"/>
          <w:rtl w:val="0"/>
        </w:rPr>
        <w:t xml:space="preserve">Sistema de evaluación</w:t>
      </w:r>
      <w:r w:rsidDel="00000000" w:rsidR="00000000" w:rsidRPr="00000000">
        <w:rPr>
          <w:rFonts w:ascii="Tahoma" w:cs="Tahoma" w:eastAsia="Tahoma" w:hAnsi="Tahoma"/>
          <w:b w:val="1"/>
          <w:rtl w:val="0"/>
        </w:rPr>
        <w:t xml:space="preserve">:</w:t>
      </w:r>
    </w:p>
    <w:p w:rsidR="00000000" w:rsidDel="00000000" w:rsidP="00000000" w:rsidRDefault="00000000" w:rsidRPr="00000000" w14:paraId="00000041">
      <w:pPr>
        <w:ind w:left="0" w:firstLine="0"/>
        <w:jc w:val="both"/>
        <w:rPr>
          <w:rFonts w:ascii="Tahoma" w:cs="Tahoma" w:eastAsia="Tahoma" w:hAnsi="Tahoma"/>
        </w:rPr>
      </w:pPr>
      <w:r w:rsidDel="00000000" w:rsidR="00000000" w:rsidRPr="00000000">
        <w:rPr>
          <w:rFonts w:ascii="Tahoma" w:cs="Tahoma" w:eastAsia="Tahoma" w:hAnsi="Tahoma"/>
          <w:rtl w:val="0"/>
        </w:rPr>
        <w:t xml:space="preserve">La evaluación será individual, en trabajo domiciliario, donde cada estudiante deberá desarrollar un diseño básico de evaluación de un programa social que le será brindado oportunamente. La evaluación propondrá repasar en la práctica conceptos tales como teoría del programa, tipos de evaluaciones y técnicas.</w:t>
      </w:r>
    </w:p>
    <w:p w:rsidR="00000000" w:rsidDel="00000000" w:rsidP="00000000" w:rsidRDefault="00000000" w:rsidRPr="00000000" w14:paraId="00000042">
      <w:pPr>
        <w:shd w:fill="ffffff" w:val="clear"/>
        <w:spacing w:after="280" w:before="280" w:lineRule="auto"/>
        <w:rPr>
          <w:rFonts w:ascii="Tahoma" w:cs="Tahoma" w:eastAsia="Tahoma" w:hAnsi="Tahoma"/>
          <w:b w:val="1"/>
        </w:rPr>
      </w:pPr>
      <w:r w:rsidDel="00000000" w:rsidR="00000000" w:rsidRPr="00000000">
        <w:rPr>
          <w:rFonts w:ascii="Tahoma" w:cs="Tahoma" w:eastAsia="Tahoma" w:hAnsi="Tahoma"/>
          <w:b w:val="1"/>
          <w:u w:val="single"/>
          <w:rtl w:val="0"/>
        </w:rPr>
        <w:t xml:space="preserve">Bibliografía</w:t>
      </w:r>
      <w:r w:rsidDel="00000000" w:rsidR="00000000" w:rsidRPr="00000000">
        <w:rPr>
          <w:rFonts w:ascii="Tahoma" w:cs="Tahoma" w:eastAsia="Tahoma" w:hAnsi="Tahoma"/>
          <w:b w:val="1"/>
          <w:rtl w:val="0"/>
        </w:rPr>
        <w:t xml:space="preserve">:</w:t>
      </w:r>
    </w:p>
    <w:p w:rsidR="00000000" w:rsidDel="00000000" w:rsidP="00000000" w:rsidRDefault="00000000" w:rsidRPr="00000000" w14:paraId="00000043">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Agencia Estatal de Evaluación de las Políticas Públicas y la Calidad de los Servicios, AEEPPCS (2010). “Fundamentos de Evaluación de Políticas Públicas. Ministerio de Política Territorial y Administración Pública, AEEPPCS. Madrid, España.</w:t>
      </w:r>
    </w:p>
    <w:p w:rsidR="00000000" w:rsidDel="00000000" w:rsidP="00000000" w:rsidRDefault="00000000" w:rsidRPr="00000000" w14:paraId="00000044">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Angrist, J. D., &amp; Pischke, J.-S. (2009). </w:t>
      </w:r>
      <w:r w:rsidDel="00000000" w:rsidR="00000000" w:rsidRPr="00000000">
        <w:rPr>
          <w:rFonts w:ascii="Tahoma" w:cs="Tahoma" w:eastAsia="Tahoma" w:hAnsi="Tahoma"/>
          <w:i w:val="1"/>
          <w:rtl w:val="0"/>
        </w:rPr>
        <w:t xml:space="preserve">Mostly harmless econometrics: An empiricist’s companion</w:t>
      </w:r>
      <w:r w:rsidDel="00000000" w:rsidR="00000000" w:rsidRPr="00000000">
        <w:rPr>
          <w:rFonts w:ascii="Tahoma" w:cs="Tahoma" w:eastAsia="Tahoma" w:hAnsi="Tahoma"/>
          <w:rtl w:val="0"/>
        </w:rPr>
        <w:t xml:space="preserve">.</w:t>
      </w:r>
    </w:p>
    <w:p w:rsidR="00000000" w:rsidDel="00000000" w:rsidP="00000000" w:rsidRDefault="00000000" w:rsidRPr="00000000" w14:paraId="00000045">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Campbell, D; y Stanley, J. (1995) </w:t>
      </w:r>
      <w:r w:rsidDel="00000000" w:rsidR="00000000" w:rsidRPr="00000000">
        <w:rPr>
          <w:rFonts w:ascii="Tahoma" w:cs="Tahoma" w:eastAsia="Tahoma" w:hAnsi="Tahoma"/>
          <w:i w:val="1"/>
          <w:rtl w:val="0"/>
        </w:rPr>
        <w:t xml:space="preserve">Diseños experimentales y cuasi experimentales en la investigación social</w:t>
      </w:r>
      <w:r w:rsidDel="00000000" w:rsidR="00000000" w:rsidRPr="00000000">
        <w:rPr>
          <w:rFonts w:ascii="Tahoma" w:cs="Tahoma" w:eastAsia="Tahoma" w:hAnsi="Tahoma"/>
          <w:rtl w:val="0"/>
        </w:rPr>
        <w:t xml:space="preserve">. Amorrortu, Buenos Aires.</w:t>
      </w:r>
    </w:p>
    <w:p w:rsidR="00000000" w:rsidDel="00000000" w:rsidP="00000000" w:rsidRDefault="00000000" w:rsidRPr="00000000" w14:paraId="00000046">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CEPAL (2005). </w:t>
      </w:r>
      <w:r w:rsidDel="00000000" w:rsidR="00000000" w:rsidRPr="00000000">
        <w:rPr>
          <w:rFonts w:ascii="Tahoma" w:cs="Tahoma" w:eastAsia="Tahoma" w:hAnsi="Tahoma"/>
          <w:i w:val="1"/>
          <w:rtl w:val="0"/>
        </w:rPr>
        <w:t xml:space="preserve">Metodología del marco lógico para la planificación, el seguimiento y la evaluación de proyectos y programas</w:t>
      </w:r>
      <w:r w:rsidDel="00000000" w:rsidR="00000000" w:rsidRPr="00000000">
        <w:rPr>
          <w:rFonts w:ascii="Tahoma" w:cs="Tahoma" w:eastAsia="Tahoma" w:hAnsi="Tahoma"/>
          <w:rtl w:val="0"/>
        </w:rPr>
        <w:t xml:space="preserve">. Naciones Unidas, Santiago de Chile.</w:t>
      </w:r>
    </w:p>
    <w:p w:rsidR="00000000" w:rsidDel="00000000" w:rsidP="00000000" w:rsidRDefault="00000000" w:rsidRPr="00000000" w14:paraId="00000047">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CONEVAL (2011). Modelo de Términos de Referencia para la Evaluación de Consistencia y Resultados. CONEVAL. México D.F., México. Disponible en </w:t>
      </w:r>
      <w:hyperlink r:id="rId8">
        <w:r w:rsidDel="00000000" w:rsidR="00000000" w:rsidRPr="00000000">
          <w:rPr>
            <w:rFonts w:ascii="Tahoma" w:cs="Tahoma" w:eastAsia="Tahoma" w:hAnsi="Tahoma"/>
            <w:color w:val="1155cc"/>
            <w:u w:val="single"/>
            <w:rtl w:val="0"/>
          </w:rPr>
          <w:t xml:space="preserve">http://coneval.org.mx/</w:t>
        </w:r>
      </w:hyperlink>
      <w:r w:rsidDel="00000000" w:rsidR="00000000" w:rsidRPr="00000000">
        <w:rPr>
          <w:rFonts w:ascii="Tahoma" w:cs="Tahoma" w:eastAsia="Tahoma" w:hAnsi="Tahoma"/>
          <w:rtl w:val="0"/>
        </w:rPr>
        <w:t xml:space="preserve">, versión de junio 2017.</w:t>
      </w:r>
    </w:p>
    <w:p w:rsidR="00000000" w:rsidDel="00000000" w:rsidP="00000000" w:rsidRDefault="00000000" w:rsidRPr="00000000" w14:paraId="00000048">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CONEVAL (2013a). Guión del Análisis de Factibilidad para llevar a cabo una Evaluación de Impacto. CONEVAL. México D.F., México. Disponible en </w:t>
      </w:r>
      <w:hyperlink r:id="rId9">
        <w:r w:rsidDel="00000000" w:rsidR="00000000" w:rsidRPr="00000000">
          <w:rPr>
            <w:rFonts w:ascii="Tahoma" w:cs="Tahoma" w:eastAsia="Tahoma" w:hAnsi="Tahoma"/>
            <w:color w:val="1155cc"/>
            <w:u w:val="single"/>
            <w:rtl w:val="0"/>
          </w:rPr>
          <w:t xml:space="preserve">http://coneval.org.mx/</w:t>
        </w:r>
      </w:hyperlink>
      <w:r w:rsidDel="00000000" w:rsidR="00000000" w:rsidRPr="00000000">
        <w:rPr>
          <w:rFonts w:ascii="Tahoma" w:cs="Tahoma" w:eastAsia="Tahoma" w:hAnsi="Tahoma"/>
          <w:rtl w:val="0"/>
        </w:rPr>
        <w:t xml:space="preserve">, versión de junio 2017.</w:t>
      </w:r>
    </w:p>
    <w:p w:rsidR="00000000" w:rsidDel="00000000" w:rsidP="00000000" w:rsidRDefault="00000000" w:rsidRPr="00000000" w14:paraId="00000049">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CONEVAL (2013b). Modelo de Términos de Referencia para la Evaluación de Procesos de Programas de Desarrollo Social. CONEVAL. México D.F., México. Disponible en </w:t>
      </w:r>
      <w:hyperlink r:id="rId10">
        <w:r w:rsidDel="00000000" w:rsidR="00000000" w:rsidRPr="00000000">
          <w:rPr>
            <w:rFonts w:ascii="Tahoma" w:cs="Tahoma" w:eastAsia="Tahoma" w:hAnsi="Tahoma"/>
            <w:color w:val="1155cc"/>
            <w:u w:val="single"/>
            <w:rtl w:val="0"/>
          </w:rPr>
          <w:t xml:space="preserve">http://coneval.org.mx/</w:t>
        </w:r>
      </w:hyperlink>
      <w:r w:rsidDel="00000000" w:rsidR="00000000" w:rsidRPr="00000000">
        <w:rPr>
          <w:rFonts w:ascii="Tahoma" w:cs="Tahoma" w:eastAsia="Tahoma" w:hAnsi="Tahoma"/>
          <w:rtl w:val="0"/>
        </w:rPr>
        <w:t xml:space="preserve">, versión de junio 2017.</w:t>
      </w:r>
    </w:p>
    <w:p w:rsidR="00000000" w:rsidDel="00000000" w:rsidP="00000000" w:rsidRDefault="00000000" w:rsidRPr="00000000" w14:paraId="0000004A">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Cunningham, S. (2018). Causal Inference: the Mixtape (V 1.8). Publicado por tufte-latex.googlecode.com, abril 2018. Disponible en </w:t>
      </w:r>
      <w:hyperlink r:id="rId11">
        <w:r w:rsidDel="00000000" w:rsidR="00000000" w:rsidRPr="00000000">
          <w:rPr>
            <w:rFonts w:ascii="Tahoma" w:cs="Tahoma" w:eastAsia="Tahoma" w:hAnsi="Tahoma"/>
            <w:color w:val="1155cc"/>
            <w:u w:val="single"/>
            <w:rtl w:val="0"/>
          </w:rPr>
          <w:t xml:space="preserve">http://scunning.com/cunningham_mixtape.pdf</w:t>
        </w:r>
      </w:hyperlink>
      <w:r w:rsidDel="00000000" w:rsidR="00000000" w:rsidRPr="00000000">
        <w:rPr>
          <w:rtl w:val="0"/>
        </w:rPr>
      </w:r>
    </w:p>
    <w:p w:rsidR="00000000" w:rsidDel="00000000" w:rsidP="00000000" w:rsidRDefault="00000000" w:rsidRPr="00000000" w14:paraId="0000004B">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DINEM – Mides (2018). Documento de Trabajo Nº 29. Informe final de evaluación del Programa Aulas Comunitarias (PAC).</w:t>
      </w:r>
    </w:p>
    <w:p w:rsidR="00000000" w:rsidDel="00000000" w:rsidP="00000000" w:rsidRDefault="00000000" w:rsidRPr="00000000" w14:paraId="0000004C">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DINEM – Mides (2018). Documento de Trabajo Nº 60. Evaluación de procesos y resultados del programa Uruguay Trabaja.</w:t>
      </w:r>
    </w:p>
    <w:p w:rsidR="00000000" w:rsidDel="00000000" w:rsidP="00000000" w:rsidRDefault="00000000" w:rsidRPr="00000000" w14:paraId="0000004D">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Gertler, Paul J.; Martinez, Sebastian; Premand, Patrick; Rawlings, Laura B.; Vermeersch, Christel M. J. (2016). Impact Evaluation in Practice, Second Edition. Washington, DC: Inter-American Development Bank and World Bank. © World Bank. </w:t>
      </w:r>
      <w:hyperlink r:id="rId12">
        <w:r w:rsidDel="00000000" w:rsidR="00000000" w:rsidRPr="00000000">
          <w:rPr>
            <w:rFonts w:ascii="Tahoma" w:cs="Tahoma" w:eastAsia="Tahoma" w:hAnsi="Tahoma"/>
            <w:color w:val="1155cc"/>
            <w:u w:val="single"/>
            <w:rtl w:val="0"/>
          </w:rPr>
          <w:t xml:space="preserve">https://openknowledge.worldbank.org/handle/10986/25030</w:t>
        </w:r>
      </w:hyperlink>
      <w:r w:rsidDel="00000000" w:rsidR="00000000" w:rsidRPr="00000000">
        <w:rPr>
          <w:rFonts w:ascii="Tahoma" w:cs="Tahoma" w:eastAsia="Tahoma" w:hAnsi="Tahoma"/>
          <w:rtl w:val="0"/>
        </w:rPr>
        <w:t xml:space="preserve"> License: CC BY 3.0 IGO.</w:t>
      </w:r>
    </w:p>
    <w:p w:rsidR="00000000" w:rsidDel="00000000" w:rsidP="00000000" w:rsidRDefault="00000000" w:rsidRPr="00000000" w14:paraId="0000004E">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Glennerster, R., &amp; Takavarasha, K. (2013). </w:t>
      </w:r>
      <w:r w:rsidDel="00000000" w:rsidR="00000000" w:rsidRPr="00000000">
        <w:rPr>
          <w:rFonts w:ascii="Tahoma" w:cs="Tahoma" w:eastAsia="Tahoma" w:hAnsi="Tahoma"/>
          <w:i w:val="1"/>
          <w:rtl w:val="0"/>
        </w:rPr>
        <w:t xml:space="preserve">Running randomized evaluations: A practical guide</w:t>
      </w:r>
      <w:r w:rsidDel="00000000" w:rsidR="00000000" w:rsidRPr="00000000">
        <w:rPr>
          <w:rFonts w:ascii="Tahoma" w:cs="Tahoma" w:eastAsia="Tahoma" w:hAnsi="Tahoma"/>
          <w:rtl w:val="0"/>
        </w:rPr>
        <w:t xml:space="preserve">. Princeton: Princeton University Press.</w:t>
      </w:r>
    </w:p>
    <w:p w:rsidR="00000000" w:rsidDel="00000000" w:rsidP="00000000" w:rsidRDefault="00000000" w:rsidRPr="00000000" w14:paraId="0000004F">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IECON (2015). Evaluación del componente AT del dispositivo SOCAT a través del análisis de redes sociales. IECON-FCEA, Montevideo.</w:t>
      </w:r>
    </w:p>
    <w:p w:rsidR="00000000" w:rsidDel="00000000" w:rsidP="00000000" w:rsidRDefault="00000000" w:rsidRPr="00000000" w14:paraId="00000050">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IECON (2016). Evaluación de impacto del programa Cercanías. Informe de resultados. IECON-FCEA, Montevideo.</w:t>
      </w:r>
    </w:p>
    <w:p w:rsidR="00000000" w:rsidDel="00000000" w:rsidP="00000000" w:rsidRDefault="00000000" w:rsidRPr="00000000" w14:paraId="00000051">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PNUD (2009). “Manual de planificación, seguimiento y evaluación de los resultados de desarrollo”. Programa de las Naciones Unidas para el Desarrollo, Nueva York.</w:t>
      </w:r>
    </w:p>
    <w:p w:rsidR="00000000" w:rsidDel="00000000" w:rsidP="00000000" w:rsidRDefault="00000000" w:rsidRPr="00000000" w14:paraId="00000052">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Pearl, J. (2000). Causality: </w:t>
      </w:r>
      <w:r w:rsidDel="00000000" w:rsidR="00000000" w:rsidRPr="00000000">
        <w:rPr>
          <w:rFonts w:ascii="Tahoma" w:cs="Tahoma" w:eastAsia="Tahoma" w:hAnsi="Tahoma"/>
          <w:i w:val="1"/>
          <w:rtl w:val="0"/>
        </w:rPr>
        <w:t xml:space="preserve">Models, reasoning, and inference</w:t>
      </w:r>
      <w:r w:rsidDel="00000000" w:rsidR="00000000" w:rsidRPr="00000000">
        <w:rPr>
          <w:rFonts w:ascii="Tahoma" w:cs="Tahoma" w:eastAsia="Tahoma" w:hAnsi="Tahoma"/>
          <w:rtl w:val="0"/>
        </w:rPr>
        <w:t xml:space="preserve">. Cambridge, U.K. ; New York: Cambridge University Press.</w:t>
      </w:r>
    </w:p>
    <w:p w:rsidR="00000000" w:rsidDel="00000000" w:rsidP="00000000" w:rsidRDefault="00000000" w:rsidRPr="00000000" w14:paraId="00000053">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Pardo, I., Moreno, M. &amp;quot;El lugar de la evaluación cualitativa en un diseño combinado : una experiencia en Uruguay&amp;quot;. Revista de Ciencias Sociales [en linea]. 2011, v.24, n.28, pp. 105-125</w:t>
      </w:r>
    </w:p>
    <w:p w:rsidR="00000000" w:rsidDel="00000000" w:rsidP="00000000" w:rsidRDefault="00000000" w:rsidRPr="00000000" w14:paraId="00000054">
      <w:pPr>
        <w:spacing w:after="120"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55">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Ravallion, M. (2009). Should Randomistas Rule?. The Economists&amp;#39; Voice. 6. 6-6. 10.2202/1553-3832.1368.</w:t>
      </w:r>
    </w:p>
    <w:p w:rsidR="00000000" w:rsidDel="00000000" w:rsidP="00000000" w:rsidRDefault="00000000" w:rsidRPr="00000000" w14:paraId="00000056">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Ravallion, M. (2018). “Should the Randomistas (Continue to) Rule?.” CGD Working Paper 492. Washington, DC: Center for Global Development. </w:t>
      </w:r>
      <w:hyperlink r:id="rId13">
        <w:r w:rsidDel="00000000" w:rsidR="00000000" w:rsidRPr="00000000">
          <w:rPr>
            <w:rFonts w:ascii="Tahoma" w:cs="Tahoma" w:eastAsia="Tahoma" w:hAnsi="Tahoma"/>
            <w:color w:val="1155cc"/>
            <w:u w:val="single"/>
            <w:rtl w:val="0"/>
          </w:rPr>
          <w:t xml:space="preserve">https://www.cgdev.org/ publication/should-randomistas-continue-rule</w:t>
        </w:r>
      </w:hyperlink>
      <w:r w:rsidDel="00000000" w:rsidR="00000000" w:rsidRPr="00000000">
        <w:rPr>
          <w:rtl w:val="0"/>
        </w:rPr>
      </w:r>
    </w:p>
    <w:p w:rsidR="00000000" w:rsidDel="00000000" w:rsidP="00000000" w:rsidRDefault="00000000" w:rsidRPr="00000000" w14:paraId="00000057">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Rogers, P. (2014). La teoría del cambio, </w:t>
      </w:r>
      <w:r w:rsidDel="00000000" w:rsidR="00000000" w:rsidRPr="00000000">
        <w:rPr>
          <w:rFonts w:ascii="Tahoma" w:cs="Tahoma" w:eastAsia="Tahoma" w:hAnsi="Tahoma"/>
          <w:i w:val="1"/>
          <w:rtl w:val="0"/>
        </w:rPr>
        <w:t xml:space="preserve">Síntesis metodológicas: evaluación de impacto n.o 2</w:t>
      </w:r>
      <w:r w:rsidDel="00000000" w:rsidR="00000000" w:rsidRPr="00000000">
        <w:rPr>
          <w:rFonts w:ascii="Tahoma" w:cs="Tahoma" w:eastAsia="Tahoma" w:hAnsi="Tahoma"/>
          <w:rtl w:val="0"/>
        </w:rPr>
        <w:t xml:space="preserve">, Centro de Investigaciones de UNICEF, Florencia.</w:t>
      </w:r>
    </w:p>
    <w:p w:rsidR="00000000" w:rsidDel="00000000" w:rsidP="00000000" w:rsidRDefault="00000000" w:rsidRPr="00000000" w14:paraId="00000058">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SINERGIA (2012). “Guía para la evaluación de Políticas Públicas.” Departamento Nacional de Planeación. Bogotá, Colombia.</w:t>
      </w:r>
    </w:p>
    <w:p w:rsidR="00000000" w:rsidDel="00000000" w:rsidP="00000000" w:rsidRDefault="00000000" w:rsidRPr="00000000" w14:paraId="00000059">
      <w:pPr>
        <w:spacing w:after="120" w:before="0" w:line="276" w:lineRule="auto"/>
        <w:jc w:val="both"/>
        <w:rPr>
          <w:rFonts w:ascii="Tahoma" w:cs="Tahoma" w:eastAsia="Tahoma" w:hAnsi="Tahoma"/>
        </w:rPr>
      </w:pPr>
      <w:r w:rsidDel="00000000" w:rsidR="00000000" w:rsidRPr="00000000">
        <w:rPr>
          <w:rFonts w:ascii="Tahoma" w:cs="Tahoma" w:eastAsia="Tahoma" w:hAnsi="Tahoma"/>
          <w:rtl w:val="0"/>
        </w:rPr>
        <w:t xml:space="preserve">Wholey, J.; Hatry, P.; Newcomer, K. (eds). (2015). </w:t>
      </w:r>
      <w:r w:rsidDel="00000000" w:rsidR="00000000" w:rsidRPr="00000000">
        <w:rPr>
          <w:rFonts w:ascii="Tahoma" w:cs="Tahoma" w:eastAsia="Tahoma" w:hAnsi="Tahoma"/>
          <w:i w:val="1"/>
          <w:rtl w:val="0"/>
        </w:rPr>
        <w:t xml:space="preserve">Handbook of Practical Program Evaluation. Fourth Edition</w:t>
      </w:r>
      <w:r w:rsidDel="00000000" w:rsidR="00000000" w:rsidRPr="00000000">
        <w:rPr>
          <w:rFonts w:ascii="Tahoma" w:cs="Tahoma" w:eastAsia="Tahoma" w:hAnsi="Tahoma"/>
          <w:rtl w:val="0"/>
        </w:rPr>
        <w:t xml:space="preserve">. USA, Wiley. doi: 10.1002/9781119171386.</w:t>
      </w:r>
    </w:p>
    <w:p w:rsidR="00000000" w:rsidDel="00000000" w:rsidP="00000000" w:rsidRDefault="00000000" w:rsidRPr="00000000" w14:paraId="0000005A">
      <w:pPr>
        <w:spacing w:after="120" w:before="0"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5B">
      <w:pPr>
        <w:spacing w:after="0" w:before="0" w:line="276" w:lineRule="auto"/>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Roman"/>
      <w:lvlText w:val="%1."/>
      <w:lvlJc w:val="right"/>
      <w:pPr>
        <w:ind w:left="720" w:firstLine="413.85826771653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unning.com/cunningham_mixtape.pdf" TargetMode="External"/><Relationship Id="rId10" Type="http://schemas.openxmlformats.org/officeDocument/2006/relationships/hyperlink" Target="http://coneval.org.mx/" TargetMode="External"/><Relationship Id="rId13" Type="http://schemas.openxmlformats.org/officeDocument/2006/relationships/hyperlink" Target="https://www.cgdev.org/" TargetMode="External"/><Relationship Id="rId12" Type="http://schemas.openxmlformats.org/officeDocument/2006/relationships/hyperlink" Target="https://openknowledge.worldbank.org/handle/10986/2503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neval.org.mx/"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forms/d/e/1FAIpQLSeT0_qKZ-qYteYHm6Or90TE5iH9wPumxRMdEVGE3qNlTAEDeQ/viewform?usp=sf_link" TargetMode="External"/><Relationship Id="rId8" Type="http://schemas.openxmlformats.org/officeDocument/2006/relationships/hyperlink" Target="http://coneval.org.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