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tillium Web" w:cs="Titillium Web" w:eastAsia="Titillium Web" w:hAnsi="Titillium Web"/>
        </w:rPr>
      </w:pPr>
      <w:r w:rsidDel="00000000" w:rsidR="00000000" w:rsidRPr="00000000">
        <w:rPr>
          <w:rtl w:val="0"/>
        </w:rPr>
      </w:r>
    </w:p>
    <w:p w:rsidR="00000000" w:rsidDel="00000000" w:rsidP="00000000" w:rsidRDefault="00000000" w:rsidRPr="00000000" w14:paraId="00000002">
      <w:pPr>
        <w:jc w:val="both"/>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A continuación, se presentan instituciones receptoras con las que el Departamento de Ciencia Política mantiene convenios para que los estudiantes de la Licenciatura en Ciencia Política puedan realizar pasantías estudiantiles como modalidad de egreso.</w:t>
      </w:r>
    </w:p>
    <w:p w:rsidR="00000000" w:rsidDel="00000000" w:rsidP="00000000" w:rsidRDefault="00000000" w:rsidRPr="00000000" w14:paraId="00000003">
      <w:pPr>
        <w:jc w:val="both"/>
        <w:rPr>
          <w:rFonts w:ascii="Titillium Web" w:cs="Titillium Web" w:eastAsia="Titillium Web" w:hAnsi="Titillium Web"/>
        </w:rPr>
      </w:pPr>
      <w:r w:rsidDel="00000000" w:rsidR="00000000" w:rsidRPr="00000000">
        <w:rPr>
          <w:rtl w:val="0"/>
        </w:rPr>
      </w:r>
    </w:p>
    <w:p w:rsidR="00000000" w:rsidDel="00000000" w:rsidP="00000000" w:rsidRDefault="00000000" w:rsidRPr="00000000" w14:paraId="00000004">
      <w:pPr>
        <w:jc w:val="both"/>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Este listado de instituciones no es excluyente. Ante el interés de los estudiantes y disponibilidad por parte de una institución, es posible tramitar nuevos convenios para asegurar que las pasantías estudiantiles responden a los intereses de especialización de los estudiantes de la licenciatura.</w:t>
      </w:r>
    </w:p>
    <w:p w:rsidR="00000000" w:rsidDel="00000000" w:rsidP="00000000" w:rsidRDefault="00000000" w:rsidRPr="00000000" w14:paraId="00000005">
      <w:pPr>
        <w:jc w:val="both"/>
        <w:rPr>
          <w:rFonts w:ascii="Titillium Web" w:cs="Titillium Web" w:eastAsia="Titillium Web" w:hAnsi="Titillium Web"/>
        </w:rPr>
      </w:pPr>
      <w:r w:rsidDel="00000000" w:rsidR="00000000" w:rsidRPr="00000000">
        <w:rPr>
          <w:rtl w:val="0"/>
        </w:rPr>
      </w:r>
    </w:p>
    <w:p w:rsidR="00000000" w:rsidDel="00000000" w:rsidP="00000000" w:rsidRDefault="00000000" w:rsidRPr="00000000" w14:paraId="00000006">
      <w:pPr>
        <w:jc w:val="both"/>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En caso de interés en realizar una pasantía estudiantil, comunicarse con el Coordinador de Pasantías, Antonio Cardarello. Correo electrónico: salvador.cardarello@cienciassociales.edu.uy</w:t>
      </w:r>
    </w:p>
    <w:p w:rsidR="00000000" w:rsidDel="00000000" w:rsidP="00000000" w:rsidRDefault="00000000" w:rsidRPr="00000000" w14:paraId="00000007">
      <w:pPr>
        <w:rPr>
          <w:rFonts w:ascii="Titillium Web" w:cs="Titillium Web" w:eastAsia="Titillium Web" w:hAnsi="Titillium Web"/>
        </w:rPr>
      </w:pPr>
      <w:r w:rsidDel="00000000" w:rsidR="00000000" w:rsidRPr="00000000">
        <w:rPr>
          <w:rtl w:val="0"/>
        </w:rPr>
      </w:r>
    </w:p>
    <w:p w:rsidR="00000000" w:rsidDel="00000000" w:rsidP="00000000" w:rsidRDefault="00000000" w:rsidRPr="00000000" w14:paraId="00000008">
      <w:pPr>
        <w:rPr>
          <w:rFonts w:ascii="Titillium Web" w:cs="Titillium Web" w:eastAsia="Titillium Web" w:hAnsi="Titillium Web"/>
          <w:b w:val="1"/>
          <w:bCs w:val="1"/>
        </w:rPr>
      </w:pPr>
      <w:r w:rsidDel="00000000" w:rsidR="00000000" w:rsidRPr="00000000">
        <w:rPr>
          <w:rFonts w:ascii="Titillium Web" w:cs="Titillium Web" w:eastAsia="Titillium Web" w:hAnsi="Titillium Web"/>
          <w:b w:val="1"/>
          <w:bCs w:val="1"/>
          <w:rtl w:val="0"/>
        </w:rPr>
        <w:t xml:space="preserve">Instituciones con convenios vigentes (febrero, 2026)</w:t>
      </w:r>
    </w:p>
    <w:tbl>
      <w:tblPr>
        <w:tblStyle w:val="Table1"/>
        <w:tblW w:w="9030.0" w:type="dxa"/>
        <w:jc w:val="left"/>
        <w:tblLayout w:type="fixed"/>
        <w:tblLook w:val="0600"/>
      </w:tblPr>
      <w:tblGrid>
        <w:gridCol w:w="675"/>
        <w:gridCol w:w="4050"/>
        <w:gridCol w:w="4305"/>
        <w:tblGridChange w:id="0">
          <w:tblGrid>
            <w:gridCol w:w="675"/>
            <w:gridCol w:w="4050"/>
            <w:gridCol w:w="4305"/>
          </w:tblGrid>
        </w:tblGridChange>
      </w:tblGrid>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9">
            <w:pPr>
              <w:spacing w:after="0" w:line="240" w:lineRule="auto"/>
              <w:jc w:val="center"/>
              <w:rPr>
                <w:rFonts w:ascii="Titillium Web" w:cs="Titillium Web" w:eastAsia="Titillium Web" w:hAnsi="Titillium Web"/>
                <w:b w:val="1"/>
                <w:bCs w:val="1"/>
                <w:color w:val="222222"/>
              </w:rPr>
            </w:pPr>
            <w:r w:rsidDel="00000000" w:rsidR="00000000" w:rsidRPr="00000000">
              <w:rPr>
                <w:rFonts w:ascii="Titillium Web" w:cs="Titillium Web" w:eastAsia="Titillium Web" w:hAnsi="Titillium Web"/>
                <w:b w:val="1"/>
                <w:bCs w:val="1"/>
                <w:rtl w:val="0"/>
              </w:rPr>
              <w:t xml:space="preserve">Nº</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A">
            <w:pPr>
              <w:spacing w:after="0" w:line="240" w:lineRule="auto"/>
              <w:rPr>
                <w:rFonts w:ascii="Titillium Web" w:cs="Titillium Web" w:eastAsia="Titillium Web" w:hAnsi="Titillium Web"/>
                <w:b w:val="1"/>
                <w:bCs w:val="1"/>
                <w:color w:val="222222"/>
              </w:rPr>
            </w:pPr>
            <w:r w:rsidDel="00000000" w:rsidR="00000000" w:rsidRPr="00000000">
              <w:rPr>
                <w:rFonts w:ascii="Titillium Web" w:cs="Titillium Web" w:eastAsia="Titillium Web" w:hAnsi="Titillium Web"/>
                <w:b w:val="1"/>
                <w:bCs w:val="1"/>
                <w:rtl w:val="0"/>
              </w:rPr>
              <w:t xml:space="preserve">Centro Receptor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B">
            <w:pPr>
              <w:spacing w:after="0" w:line="240" w:lineRule="auto"/>
              <w:rPr>
                <w:rFonts w:ascii="Titillium Web" w:cs="Titillium Web" w:eastAsia="Titillium Web" w:hAnsi="Titillium Web"/>
                <w:b w:val="1"/>
                <w:bCs w:val="1"/>
              </w:rPr>
            </w:pPr>
            <w:r w:rsidDel="00000000" w:rsidR="00000000" w:rsidRPr="00000000">
              <w:rPr>
                <w:rFonts w:ascii="Titillium Web" w:cs="Titillium Web" w:eastAsia="Titillium Web" w:hAnsi="Titillium Web"/>
                <w:b w:val="1"/>
                <w:bCs w:val="1"/>
                <w:rtl w:val="0"/>
              </w:rPr>
              <w:t xml:space="preserve">Descriptor de la institución receptora</w:t>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C">
            <w:pPr>
              <w:spacing w:after="0" w:line="240" w:lineRule="auto"/>
              <w:jc w:val="center"/>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D">
            <w:pPr>
              <w:spacing w:after="0" w:line="240" w:lineRule="auto"/>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AUCI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E">
            <w:pPr>
              <w:spacing w:line="240" w:lineRule="auto"/>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Estado - Sector Público</w:t>
            </w:r>
            <w:r w:rsidDel="00000000" w:rsidR="00000000" w:rsidRPr="00000000">
              <w:rPr>
                <w:rtl w:val="0"/>
              </w:rPr>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F">
            <w:pPr>
              <w:spacing w:after="0" w:line="240" w:lineRule="auto"/>
              <w:jc w:val="center"/>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10">
            <w:pPr>
              <w:spacing w:after="0" w:line="240" w:lineRule="auto"/>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Biblioteca PL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11">
            <w:pPr>
              <w:spacing w:line="240" w:lineRule="auto"/>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Estado - Sector Público</w:t>
            </w:r>
            <w:r w:rsidDel="00000000" w:rsidR="00000000" w:rsidRPr="00000000">
              <w:rPr>
                <w:rtl w:val="0"/>
              </w:rPr>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12">
            <w:pPr>
              <w:spacing w:after="0" w:line="240" w:lineRule="auto"/>
              <w:jc w:val="center"/>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13">
            <w:pPr>
              <w:spacing w:after="0" w:line="240" w:lineRule="auto"/>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Centro de Especialización Legislativa de la Cámara de Representantes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14">
            <w:pPr>
              <w:spacing w:line="240" w:lineRule="auto"/>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Estado - Sector Público</w:t>
            </w:r>
            <w:r w:rsidDel="00000000" w:rsidR="00000000" w:rsidRPr="00000000">
              <w:rPr>
                <w:rtl w:val="0"/>
              </w:rPr>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15">
            <w:pPr>
              <w:spacing w:after="0" w:line="240" w:lineRule="auto"/>
              <w:jc w:val="center"/>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16">
            <w:pPr>
              <w:spacing w:after="0" w:line="240" w:lineRule="auto"/>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Defensoría del Vecino de Montevideo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17">
            <w:pPr>
              <w:spacing w:line="240" w:lineRule="auto"/>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Estado - Sector Público</w:t>
            </w:r>
            <w:r w:rsidDel="00000000" w:rsidR="00000000" w:rsidRPr="00000000">
              <w:rPr>
                <w:rtl w:val="0"/>
              </w:rPr>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18">
            <w:pPr>
              <w:spacing w:after="0" w:line="240" w:lineRule="auto"/>
              <w:jc w:val="center"/>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19">
            <w:pPr>
              <w:spacing w:after="0" w:line="240" w:lineRule="auto"/>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El Abrojo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1A">
            <w:pPr>
              <w:spacing w:after="0" w:line="240" w:lineRule="auto"/>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Sociedad Civil</w:t>
            </w:r>
            <w:r w:rsidDel="00000000" w:rsidR="00000000" w:rsidRPr="00000000">
              <w:rPr>
                <w:rtl w:val="0"/>
              </w:rPr>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1B">
            <w:pPr>
              <w:spacing w:after="0" w:line="240" w:lineRule="auto"/>
              <w:jc w:val="center"/>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1C">
            <w:pPr>
              <w:spacing w:after="0" w:line="240" w:lineRule="auto"/>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ICD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1D">
            <w:pPr>
              <w:spacing w:after="0" w:line="240" w:lineRule="auto"/>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Sociedad Civil</w:t>
            </w:r>
            <w:r w:rsidDel="00000000" w:rsidR="00000000" w:rsidRPr="00000000">
              <w:rPr>
                <w:rtl w:val="0"/>
              </w:rPr>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1E">
            <w:pPr>
              <w:spacing w:after="0" w:line="240" w:lineRule="auto"/>
              <w:jc w:val="center"/>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1F">
            <w:pPr>
              <w:spacing w:after="0" w:line="240" w:lineRule="auto"/>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INACOOP</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20">
            <w:pPr>
              <w:spacing w:after="0" w:line="240" w:lineRule="auto"/>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Sociedad Civil</w:t>
            </w:r>
            <w:r w:rsidDel="00000000" w:rsidR="00000000" w:rsidRPr="00000000">
              <w:rPr>
                <w:rtl w:val="0"/>
              </w:rPr>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21">
            <w:pPr>
              <w:spacing w:after="0" w:line="240" w:lineRule="auto"/>
              <w:jc w:val="center"/>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22">
            <w:pPr>
              <w:spacing w:after="0" w:line="240" w:lineRule="auto"/>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INDDHH</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23">
            <w:pPr>
              <w:spacing w:line="240" w:lineRule="auto"/>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Estado - Sector Público</w:t>
            </w:r>
            <w:r w:rsidDel="00000000" w:rsidR="00000000" w:rsidRPr="00000000">
              <w:rPr>
                <w:rtl w:val="0"/>
              </w:rPr>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24">
            <w:pPr>
              <w:spacing w:after="0" w:line="240" w:lineRule="auto"/>
              <w:jc w:val="center"/>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25">
            <w:pPr>
              <w:spacing w:after="0" w:line="240" w:lineRule="auto"/>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Inmujeres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26">
            <w:pPr>
              <w:spacing w:line="240" w:lineRule="auto"/>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Estado - Sector Público</w:t>
            </w:r>
            <w:r w:rsidDel="00000000" w:rsidR="00000000" w:rsidRPr="00000000">
              <w:rPr>
                <w:rtl w:val="0"/>
              </w:rPr>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27">
            <w:pPr>
              <w:spacing w:after="0" w:line="240" w:lineRule="auto"/>
              <w:jc w:val="center"/>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10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28">
            <w:pPr>
              <w:spacing w:after="0" w:line="240" w:lineRule="auto"/>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JDM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29">
            <w:pPr>
              <w:spacing w:line="240" w:lineRule="auto"/>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Estado - Sector Público</w:t>
            </w:r>
            <w:r w:rsidDel="00000000" w:rsidR="00000000" w:rsidRPr="00000000">
              <w:rPr>
                <w:rtl w:val="0"/>
              </w:rPr>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2A">
            <w:pPr>
              <w:spacing w:after="0" w:line="240" w:lineRule="auto"/>
              <w:jc w:val="center"/>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11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2B">
            <w:pPr>
              <w:spacing w:after="0" w:line="240" w:lineRule="auto"/>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MIDES Colonia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2C">
            <w:pPr>
              <w:spacing w:line="240" w:lineRule="auto"/>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Estado - Sector Público</w:t>
            </w:r>
            <w:r w:rsidDel="00000000" w:rsidR="00000000" w:rsidRPr="00000000">
              <w:rPr>
                <w:rtl w:val="0"/>
              </w:rPr>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2D">
            <w:pPr>
              <w:spacing w:after="0" w:line="240" w:lineRule="auto"/>
              <w:jc w:val="center"/>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12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2E">
            <w:pPr>
              <w:spacing w:after="0" w:line="240" w:lineRule="auto"/>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MRREE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2F">
            <w:pPr>
              <w:spacing w:line="240" w:lineRule="auto"/>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Estado - Sector Público</w:t>
            </w:r>
            <w:r w:rsidDel="00000000" w:rsidR="00000000" w:rsidRPr="00000000">
              <w:rPr>
                <w:rtl w:val="0"/>
              </w:rPr>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30">
            <w:pPr>
              <w:spacing w:after="0" w:line="240" w:lineRule="auto"/>
              <w:jc w:val="center"/>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13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31">
            <w:pPr>
              <w:spacing w:after="0" w:line="240" w:lineRule="auto"/>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MSP</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32">
            <w:pPr>
              <w:spacing w:line="240" w:lineRule="auto"/>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Estado - Sector Público</w:t>
            </w:r>
            <w:r w:rsidDel="00000000" w:rsidR="00000000" w:rsidRPr="00000000">
              <w:rPr>
                <w:rtl w:val="0"/>
              </w:rPr>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33">
            <w:pPr>
              <w:spacing w:after="0" w:line="240" w:lineRule="auto"/>
              <w:jc w:val="center"/>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14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34">
            <w:pPr>
              <w:spacing w:after="0" w:line="240" w:lineRule="auto"/>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NGS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35">
            <w:pPr>
              <w:spacing w:after="0" w:line="240" w:lineRule="auto"/>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Consultora - Sector Privado</w:t>
            </w:r>
            <w:r w:rsidDel="00000000" w:rsidR="00000000" w:rsidRPr="00000000">
              <w:rPr>
                <w:rtl w:val="0"/>
              </w:rPr>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36">
            <w:pPr>
              <w:spacing w:after="0" w:line="240" w:lineRule="auto"/>
              <w:jc w:val="center"/>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15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37">
            <w:pPr>
              <w:spacing w:after="0" w:line="240" w:lineRule="auto"/>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Nómade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38">
            <w:pPr>
              <w:spacing w:line="240" w:lineRule="auto"/>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Consultora - Sector Privado</w:t>
            </w:r>
            <w:r w:rsidDel="00000000" w:rsidR="00000000" w:rsidRPr="00000000">
              <w:rPr>
                <w:rtl w:val="0"/>
              </w:rPr>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39">
            <w:pPr>
              <w:spacing w:after="0" w:line="240" w:lineRule="auto"/>
              <w:jc w:val="center"/>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16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3A">
            <w:pPr>
              <w:spacing w:after="0" w:line="240" w:lineRule="auto"/>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Observatorio Luz Ibarburu</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3B">
            <w:pPr>
              <w:spacing w:after="0" w:line="240" w:lineRule="auto"/>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Sociedad Civil</w:t>
            </w:r>
            <w:r w:rsidDel="00000000" w:rsidR="00000000" w:rsidRPr="00000000">
              <w:rPr>
                <w:rtl w:val="0"/>
              </w:rPr>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3C">
            <w:pPr>
              <w:spacing w:after="0" w:line="240" w:lineRule="auto"/>
              <w:jc w:val="center"/>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17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3D">
            <w:pPr>
              <w:spacing w:after="0" w:line="240" w:lineRule="auto"/>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ONCS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3E">
            <w:pPr>
              <w:spacing w:after="0" w:line="240" w:lineRule="auto"/>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Estado -Sector Público</w:t>
            </w:r>
            <w:r w:rsidDel="00000000" w:rsidR="00000000" w:rsidRPr="00000000">
              <w:rPr>
                <w:rtl w:val="0"/>
              </w:rPr>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3F">
            <w:pPr>
              <w:spacing w:after="0" w:line="240" w:lineRule="auto"/>
              <w:jc w:val="center"/>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18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40">
            <w:pPr>
              <w:spacing w:after="0" w:line="240" w:lineRule="auto"/>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Opción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41">
            <w:pPr>
              <w:spacing w:line="240" w:lineRule="auto"/>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Consultora - Sector Privado</w:t>
            </w:r>
            <w:r w:rsidDel="00000000" w:rsidR="00000000" w:rsidRPr="00000000">
              <w:rPr>
                <w:rtl w:val="0"/>
              </w:rPr>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42">
            <w:pPr>
              <w:spacing w:after="0" w:line="240" w:lineRule="auto"/>
              <w:jc w:val="center"/>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19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43">
            <w:pPr>
              <w:spacing w:after="0" w:line="240" w:lineRule="auto"/>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Serpaj</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44">
            <w:pPr>
              <w:spacing w:after="0" w:line="240" w:lineRule="auto"/>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Sociedad Civil</w:t>
            </w:r>
            <w:r w:rsidDel="00000000" w:rsidR="00000000" w:rsidRPr="00000000">
              <w:rPr>
                <w:rtl w:val="0"/>
              </w:rPr>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45">
            <w:pPr>
              <w:spacing w:after="0" w:line="240" w:lineRule="auto"/>
              <w:jc w:val="center"/>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20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46">
            <w:pPr>
              <w:spacing w:after="0" w:line="240" w:lineRule="auto"/>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UNESCO - Sector Educación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47">
            <w:pPr>
              <w:spacing w:after="0" w:line="240" w:lineRule="auto"/>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Organismo Internacional</w:t>
            </w:r>
            <w:r w:rsidDel="00000000" w:rsidR="00000000" w:rsidRPr="00000000">
              <w:rPr>
                <w:rtl w:val="0"/>
              </w:rPr>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48">
            <w:pPr>
              <w:spacing w:after="0" w:line="240" w:lineRule="auto"/>
              <w:jc w:val="center"/>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21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49">
            <w:pPr>
              <w:spacing w:after="0" w:line="240" w:lineRule="auto"/>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Secretaria de DDHH de Presidencia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4A">
            <w:pPr>
              <w:spacing w:line="240" w:lineRule="auto"/>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Estado - Sector Público</w:t>
            </w:r>
            <w:r w:rsidDel="00000000" w:rsidR="00000000" w:rsidRPr="00000000">
              <w:rPr>
                <w:rtl w:val="0"/>
              </w:rPr>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4B">
            <w:pPr>
              <w:spacing w:after="0" w:line="240" w:lineRule="auto"/>
              <w:jc w:val="center"/>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22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4C">
            <w:pPr>
              <w:spacing w:after="0" w:line="240" w:lineRule="auto"/>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Intendencia de Canelones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4D">
            <w:pPr>
              <w:spacing w:line="240" w:lineRule="auto"/>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Estado - Sector Público</w:t>
            </w:r>
            <w:r w:rsidDel="00000000" w:rsidR="00000000" w:rsidRPr="00000000">
              <w:rPr>
                <w:rtl w:val="0"/>
              </w:rPr>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4E">
            <w:pPr>
              <w:spacing w:after="0" w:line="240" w:lineRule="auto"/>
              <w:jc w:val="center"/>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23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4F">
            <w:pPr>
              <w:spacing w:after="0" w:line="240" w:lineRule="auto"/>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MIDES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50">
            <w:pPr>
              <w:spacing w:line="240" w:lineRule="auto"/>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Estado - Sector Público</w:t>
            </w:r>
            <w:r w:rsidDel="00000000" w:rsidR="00000000" w:rsidRPr="00000000">
              <w:rPr>
                <w:rtl w:val="0"/>
              </w:rPr>
            </w:r>
          </w:p>
        </w:tc>
      </w:tr>
      <w:tr>
        <w:trPr>
          <w:cantSplit w:val="0"/>
          <w:trHeight w:val="670" w:hRule="atLeast"/>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51">
            <w:pPr>
              <w:spacing w:after="0" w:line="240" w:lineRule="auto"/>
              <w:jc w:val="center"/>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24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52">
            <w:pPr>
              <w:spacing w:after="0" w:line="240" w:lineRule="auto"/>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Ministerio</w:t>
            </w:r>
            <w:r w:rsidDel="00000000" w:rsidR="00000000" w:rsidRPr="00000000">
              <w:rPr>
                <w:rFonts w:ascii="Titillium Web" w:cs="Titillium Web" w:eastAsia="Titillium Web" w:hAnsi="Titillium Web"/>
                <w:rtl w:val="0"/>
              </w:rPr>
              <w:t xml:space="preserve"> del Interior - Área de Estadística y Criminología Aplicada (AECA)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53">
            <w:pPr>
              <w:spacing w:after="0" w:line="240" w:lineRule="auto"/>
              <w:rPr>
                <w:rFonts w:ascii="Titillium Web" w:cs="Titillium Web" w:eastAsia="Titillium Web" w:hAnsi="Titillium Web"/>
                <w:color w:val="222222"/>
              </w:rPr>
            </w:pPr>
            <w:r w:rsidDel="00000000" w:rsidR="00000000" w:rsidRPr="00000000">
              <w:rPr>
                <w:rFonts w:ascii="Titillium Web" w:cs="Titillium Web" w:eastAsia="Titillium Web" w:hAnsi="Titillium Web"/>
                <w:rtl w:val="0"/>
              </w:rPr>
              <w:t xml:space="preserve">Estado - Sector Público</w:t>
            </w:r>
            <w:r w:rsidDel="00000000" w:rsidR="00000000" w:rsidRPr="00000000">
              <w:rPr>
                <w:rtl w:val="0"/>
              </w:rPr>
            </w:r>
          </w:p>
        </w:tc>
      </w:tr>
    </w:tbl>
    <w:p w:rsidR="00000000" w:rsidDel="00000000" w:rsidP="00000000" w:rsidRDefault="00000000" w:rsidRPr="00000000" w14:paraId="00000054">
      <w:pPr>
        <w:rPr>
          <w:rFonts w:ascii="Titillium Web" w:cs="Titillium Web" w:eastAsia="Titillium Web" w:hAnsi="Titillium Web"/>
          <w:b w:val="1"/>
          <w:bCs w:val="1"/>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tillium Web">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widowControl w:val="0"/>
      <w:spacing w:line="240" w:lineRule="auto"/>
      <w:jc w:val="center"/>
      <w:rPr>
        <w:rFonts w:ascii="Calibri" w:cs="Calibri" w:eastAsia="Calibri" w:hAnsi="Calibri"/>
        <w:b w:val="1"/>
        <w:bCs w:val="1"/>
        <w:sz w:val="18"/>
        <w:szCs w:val="18"/>
      </w:rPr>
    </w:pPr>
    <w:bookmarkStart w:colFirst="0" w:colLast="0" w:name="_hefpx4k59fzz" w:id="0"/>
    <w:bookmarkEnd w:id="0"/>
    <w:r w:rsidDel="00000000" w:rsidR="00000000" w:rsidRPr="00000000">
      <w:rPr>
        <w:rFonts w:ascii="Calibri" w:cs="Calibri" w:eastAsia="Calibri" w:hAnsi="Calibri"/>
        <w:b w:val="1"/>
        <w:bCs w:val="1"/>
        <w:sz w:val="18"/>
        <w:szCs w:val="18"/>
        <w:rtl w:val="0"/>
      </w:rPr>
      <w:t xml:space="preserve">Constituyente 1502 - 6to. Piso. CP 11200 – Tel. +592 24180938 int. 600 -  Montevideo, Uruguay</w:t>
    </w:r>
  </w:p>
  <w:p w:rsidR="00000000" w:rsidDel="00000000" w:rsidP="00000000" w:rsidRDefault="00000000" w:rsidRPr="00000000" w14:paraId="00000057">
    <w:pPr>
      <w:widowControl w:val="0"/>
      <w:spacing w:line="240" w:lineRule="auto"/>
      <w:jc w:val="center"/>
      <w:rPr/>
    </w:pPr>
    <w:r w:rsidDel="00000000" w:rsidR="00000000" w:rsidRPr="00000000">
      <w:rPr>
        <w:rFonts w:ascii="Calibri" w:cs="Calibri" w:eastAsia="Calibri" w:hAnsi="Calibri"/>
        <w:b w:val="1"/>
        <w:bCs w:val="1"/>
        <w:sz w:val="18"/>
        <w:szCs w:val="18"/>
        <w:rtl w:val="0"/>
      </w:rPr>
      <w:t xml:space="preserve">secretaria.dcp@cienciassociales.edu.uy   -   https://cienciassociales.edu.uy/</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widowControl w:val="0"/>
      <w:spacing w:line="240" w:lineRule="auto"/>
      <w:ind w:left="-567" w:hanging="426.0000000000001"/>
      <w:jc w:val="center"/>
      <w:rPr/>
    </w:pPr>
    <w:r w:rsidDel="00000000" w:rsidR="00000000" w:rsidRPr="00000000">
      <w:rPr>
        <w:rFonts w:ascii="Calibri" w:cs="Calibri" w:eastAsia="Calibri" w:hAnsi="Calibri"/>
        <w:b w:val="1"/>
        <w:bCs w:val="1"/>
        <w:sz w:val="16"/>
        <w:szCs w:val="16"/>
      </w:rPr>
      <w:drawing>
        <wp:inline distB="0" distT="0" distL="0" distR="0">
          <wp:extent cx="5731200" cy="9906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9906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cPr>
      <w:shd w:fill="ffffff" w:val="clear"/>
    </w:tc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itilliumWeb-regular.ttf"/><Relationship Id="rId2" Type="http://schemas.openxmlformats.org/officeDocument/2006/relationships/font" Target="fonts/TitilliumWeb-bold.ttf"/><Relationship Id="rId3" Type="http://schemas.openxmlformats.org/officeDocument/2006/relationships/font" Target="fonts/TitilliumWeb-italic.ttf"/><Relationship Id="rId4" Type="http://schemas.openxmlformats.org/officeDocument/2006/relationships/font" Target="fonts/TitilliumWeb-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